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75" w:lineRule="atLeast"/>
        <w:ind w:left="0" w:right="0" w:firstLine="0"/>
        <w:jc w:val="center"/>
        <w:rPr>
          <w:rFonts w:ascii="微软雅黑" w:hAnsi="微软雅黑" w:eastAsia="微软雅黑" w:cs="微软雅黑"/>
          <w:b/>
          <w:i w:val="0"/>
          <w:caps w:val="0"/>
          <w:color w:val="333333"/>
          <w:spacing w:val="0"/>
          <w:sz w:val="36"/>
          <w:szCs w:val="36"/>
        </w:rPr>
      </w:pPr>
      <w:r>
        <w:rPr>
          <w:rFonts w:hint="eastAsia" w:ascii="微软雅黑" w:hAnsi="微软雅黑" w:eastAsia="微软雅黑" w:cs="微软雅黑"/>
          <w:b/>
          <w:i w:val="0"/>
          <w:caps w:val="0"/>
          <w:color w:val="333333"/>
          <w:spacing w:val="0"/>
          <w:sz w:val="36"/>
          <w:szCs w:val="36"/>
          <w:bdr w:val="none" w:color="auto" w:sz="0" w:space="0"/>
          <w:shd w:val="clear" w:fill="FFFFFF"/>
        </w:rPr>
        <w:t>中华人民共和国财政部令第113号--行政单位财务规则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《行政单位财务规则》已经2023年1月13日部务会议审议通过，现予公布，自2023年3月1日起施行。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right"/>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部长 刘昆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right"/>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2023年1月28日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center"/>
        <w:rPr>
          <w:rFonts w:hint="eastAsia" w:ascii="宋体" w:hAnsi="宋体" w:eastAsia="宋体" w:cs="宋体"/>
          <w:sz w:val="24"/>
          <w:szCs w:val="24"/>
        </w:rPr>
      </w:pPr>
      <w:r>
        <w:rPr>
          <w:rFonts w:hint="eastAsia" w:ascii="宋体" w:hAnsi="宋体" w:eastAsia="宋体" w:cs="宋体"/>
          <w:b/>
          <w:i w:val="0"/>
          <w:caps w:val="0"/>
          <w:color w:val="333333"/>
          <w:spacing w:val="0"/>
          <w:sz w:val="24"/>
          <w:szCs w:val="24"/>
          <w:bdr w:val="none" w:color="auto" w:sz="0" w:space="0"/>
          <w:shd w:val="clear" w:fill="FFFFFF"/>
        </w:rPr>
        <w:t>行政单位财务规则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center"/>
        <w:rPr>
          <w:rFonts w:hint="eastAsia" w:ascii="宋体" w:hAnsi="宋体" w:eastAsia="宋体" w:cs="宋体"/>
          <w:sz w:val="24"/>
          <w:szCs w:val="24"/>
        </w:rPr>
      </w:pPr>
      <w:r>
        <w:rPr>
          <w:rFonts w:hint="eastAsia" w:ascii="宋体" w:hAnsi="宋体" w:eastAsia="宋体" w:cs="宋体"/>
          <w:b/>
          <w:i w:val="0"/>
          <w:caps w:val="0"/>
          <w:color w:val="333333"/>
          <w:spacing w:val="0"/>
          <w:sz w:val="24"/>
          <w:szCs w:val="24"/>
          <w:bdr w:val="none" w:color="auto" w:sz="0" w:space="0"/>
          <w:shd w:val="clear" w:fill="FFFFFF"/>
        </w:rPr>
        <w:t>第一章 总 则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第一条 为了规范行政单位的财务行为，加强行政单位财务管理和监督，提高资金使用效益，保障行政单位工作任务的完成，制定本规则。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第二条 本规则适用于各级各类国家机关、政党组织（以下统称行政单位）的财务活动。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第三条 行政单位财务管理的基本原则是：艰苦奋斗，厉行节约；量入为出，保障重点；从严从简，勤俭办一切事业；制止奢侈浪费，降低行政成本，注重资金使用效益。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第四条 行政单位财务管理的主要任务是：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（一）科学、合理编制预算，严格预算执行，完整、准确、及时编制决算；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（二）建立健全财务制度，实施内部控制管理，加强对行政单位财务活动的控制和监督；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（三）全面实施绩效管理，提高资金使用效益；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（四）加强资产管理，合理配置、有效利用、规范处置资产，防止国有资产流失；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（五）按照规定编制决算报告和财务报告，真实反映单位预算执行情况、财务状况和运行情况；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（六）对行政单位所属并归口行政财务管理的单位的财务活动实施指导、监督；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（七）加强对非独立核算的机关后勤服务部门的财务管理，实行内部核算办法。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第五条 行政单位的财务活动在单位负责人领导下，由单位财务部门统一管理。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行政单位应当实行独立核算，明确承担相关职责的机构，配备与履职相适应的财务、会计人员力量。不具备配备条件的，可以委托经批准从事代理记账业务的中介机构代理记账。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行政单位的各项经济业务事项应当按照国家统一的会计制度进行会计核算。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center"/>
        <w:rPr>
          <w:rFonts w:hint="eastAsia" w:ascii="宋体" w:hAnsi="宋体" w:eastAsia="宋体" w:cs="宋体"/>
          <w:sz w:val="24"/>
          <w:szCs w:val="24"/>
        </w:rPr>
      </w:pPr>
      <w:r>
        <w:rPr>
          <w:rFonts w:hint="eastAsia" w:ascii="宋体" w:hAnsi="宋体" w:eastAsia="宋体" w:cs="宋体"/>
          <w:b/>
          <w:i w:val="0"/>
          <w:caps w:val="0"/>
          <w:color w:val="333333"/>
          <w:spacing w:val="0"/>
          <w:sz w:val="24"/>
          <w:szCs w:val="24"/>
          <w:bdr w:val="none" w:color="auto" w:sz="0" w:space="0"/>
          <w:shd w:val="clear" w:fill="FFFFFF"/>
        </w:rPr>
        <w:t>第二章 单位预算管理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第六条 行政单位预算由收入预算和支出预算组成。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第七条 按照预算管理权限，行政单位预算管理分为下列级次：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（一）向本级财政部门申报预算的行政单位，为一级预算单位；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（二）向一级预算单位申报预算并有下级预算单位的行政单位，为二级预算单位，依次类推；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（三）向上一级预算单位申报预算，且没有下级预算单位的行政单位，为基层预算单位。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一级预算单位有下级预算单位的，为主管预算单位。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第八条 各级预算单位应当按照预算管理级次申报预算，并按照批准的预算组织实施，定期将预算执行情况向上一级预算单位或者本级财政部门报告。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第九条 国家对行政单位实行收支统一管理、结转和结余按照规定使用的预算管理办法。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第十条 行政单位编制预算，应当综合考虑以下因素：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（一）年度工作计划和收支预测；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（二）以前年度预算执行情况；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（三）以前年度结转和结余情况；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（四）资产配置标准和存量资产情况；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（五）有关绩效结果；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（六）其他因素。</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第十一条 行政单位预算依照下列程序编报和审批：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（一）行政单位测算、提出预算建议数，逐级汇总后报送本级财政部门；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（二）财政部门审核行政单位提出的预算建议数，下达预算控制数；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（三）行政单位根据预算控制数正式编制年度预算草案，逐级汇总后报送本级财政部门；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（四）经法定程序批准后，财政部门批复行政单位预算。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第十二条 行政单位应当严格执行预算，按照收支平衡的原则，合理安排各项资金，不得超预算安排支出。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预算在执行中应当严格控制调剂。确需调剂的，行政单位应当按照规定程序办理。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第十三条 行政单位应当按照规定编制决算草案，逐级审核汇总后报本级财政部门审批。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第十四条 行政单位应当加强决算审核和分析，规范决算管理工作，保证决算数据的完整、真实、准确。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第十五条 行政单位应当全面实施预算绩效管理，加强绩效结果应用，提高资金使用效益。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center"/>
        <w:rPr>
          <w:rFonts w:hint="eastAsia" w:ascii="宋体" w:hAnsi="宋体" w:eastAsia="宋体" w:cs="宋体"/>
          <w:sz w:val="24"/>
          <w:szCs w:val="24"/>
        </w:rPr>
      </w:pPr>
      <w:r>
        <w:rPr>
          <w:rFonts w:hint="eastAsia" w:ascii="宋体" w:hAnsi="宋体" w:eastAsia="宋体" w:cs="宋体"/>
          <w:b/>
          <w:i w:val="0"/>
          <w:caps w:val="0"/>
          <w:color w:val="333333"/>
          <w:spacing w:val="0"/>
          <w:sz w:val="24"/>
          <w:szCs w:val="24"/>
          <w:bdr w:val="none" w:color="auto" w:sz="0" w:space="0"/>
          <w:shd w:val="clear" w:fill="FFFFFF"/>
        </w:rPr>
        <w:t>第三章 收入管理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第十六条 收入是指行政单位依法取得的非偿还性资金，包括财政拨款收入和其他收入。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财政拨款收入，是指行政单位从本级财政部门取得的预算资金。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其他收入，是指行政单位依法取得的除财政拨款收入以外的各项收入。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行政单位依法取得的应当上缴财政的罚没收入、行政事业性收费收入、政府性基金收入、国有资源（资产）有偿使用收入等，不属于行政单位的收入。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第十七条 行政单位取得各项收入，应当符合国家规定，按照财务管理的要求，分项如实核算。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第十八条 行政单位应当将各项收入全部纳入单位预算，统一核算，统一管理，未纳入预算的收入不得安排支出。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center"/>
        <w:rPr>
          <w:rFonts w:hint="eastAsia" w:ascii="宋体" w:hAnsi="宋体" w:eastAsia="宋体" w:cs="宋体"/>
          <w:sz w:val="24"/>
          <w:szCs w:val="24"/>
        </w:rPr>
      </w:pPr>
      <w:r>
        <w:rPr>
          <w:rFonts w:hint="eastAsia" w:ascii="宋体" w:hAnsi="宋体" w:eastAsia="宋体" w:cs="宋体"/>
          <w:b/>
          <w:i w:val="0"/>
          <w:caps w:val="0"/>
          <w:color w:val="333333"/>
          <w:spacing w:val="0"/>
          <w:sz w:val="24"/>
          <w:szCs w:val="24"/>
          <w:bdr w:val="none" w:color="auto" w:sz="0" w:space="0"/>
          <w:shd w:val="clear" w:fill="FFFFFF"/>
        </w:rPr>
        <w:t>第四章 支出管理</w:t>
      </w:r>
      <w:r>
        <w:rPr>
          <w:rFonts w:hint="eastAsia" w:ascii="宋体" w:hAnsi="宋体" w:eastAsia="宋体" w:cs="宋体"/>
          <w:i w:val="0"/>
          <w:caps w:val="0"/>
          <w:color w:val="333333"/>
          <w:spacing w:val="0"/>
          <w:sz w:val="24"/>
          <w:szCs w:val="24"/>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第十九条 支出是指行政单位为保障机构正常运转和完成工作任务所发生的资金耗费和损失，包括基本支出和项目支出。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基本支出，是指行政单位为保障其机构正常运转和完成日常工作任务所发生的支出，包括人员经费和公用经费。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项目支出，是指行政单位为完成其特定的工作任务所发生的支出。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第二十条 行政单位应当将各项支出全部以项目形式纳入预算项目库，实施项目全生命周期管理，未纳入预算项目库的项目一律不得安排预算。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各项支出由单位财务部门按照批准的预算和有关规定审核办理。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第二十一条 行政单位应当严格执行国家规定的开支范围及标准，不得擅自扩大开支范围、提高开支标准，建立健全支出管理制度，合理安排支出进度，严控一般性支出。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第二十二条 行政单位从财政部门或者上级预算单位取得的项目资金，应当按照批准的项目和用途使用，专款专用，在单位统一会计账簿中按项目明细单独核算，并按照有关规定报告资金使用情况，接受财政部门和上级预算单位的监督。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第二十三条 行政单位应当严格执行国库集中支付制度和政府采购法律制度等规定。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第二十四条 行政单位可以根据机构运转和完成工作任务的实际需要，实行成本核算。成本核算的具体办法按照国务院财政部门有关规定执行。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第二十五条 行政单位应当依法依规加强各类票据管理，确保票据来源合法、内容真实、使用正确，不得使用虚假票据。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center"/>
        <w:rPr>
          <w:rFonts w:hint="eastAsia" w:ascii="宋体" w:hAnsi="宋体" w:eastAsia="宋体" w:cs="宋体"/>
          <w:sz w:val="24"/>
          <w:szCs w:val="24"/>
        </w:rPr>
      </w:pPr>
      <w:r>
        <w:rPr>
          <w:rFonts w:hint="eastAsia" w:ascii="宋体" w:hAnsi="宋体" w:eastAsia="宋体" w:cs="宋体"/>
          <w:b/>
          <w:i w:val="0"/>
          <w:caps w:val="0"/>
          <w:color w:val="333333"/>
          <w:spacing w:val="0"/>
          <w:sz w:val="24"/>
          <w:szCs w:val="24"/>
          <w:bdr w:val="none" w:color="auto" w:sz="0" w:space="0"/>
          <w:shd w:val="clear" w:fill="FFFFFF"/>
        </w:rPr>
        <w:t>第五章 结转和结余管理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第二十六条 结转资金，是指当年预算已执行但未完成，或者因故未执行，下一年度需要按照原用途继续使用的资金。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第二十七条 结余资金，是指当年预算工作目标已完成，或者因故终止，当年剩余的资金。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结转资金在规定使用年限未使用或者未使用完的，视为结余资金。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第二十八条 财政拨款结转和结余的管理，应当按照国家有关规定执行。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center"/>
        <w:rPr>
          <w:rFonts w:hint="eastAsia" w:ascii="宋体" w:hAnsi="宋体" w:eastAsia="宋体" w:cs="宋体"/>
          <w:sz w:val="24"/>
          <w:szCs w:val="24"/>
        </w:rPr>
      </w:pPr>
      <w:r>
        <w:rPr>
          <w:rFonts w:hint="eastAsia" w:ascii="宋体" w:hAnsi="宋体" w:eastAsia="宋体" w:cs="宋体"/>
          <w:b/>
          <w:i w:val="0"/>
          <w:caps w:val="0"/>
          <w:color w:val="333333"/>
          <w:spacing w:val="0"/>
          <w:sz w:val="24"/>
          <w:szCs w:val="24"/>
          <w:bdr w:val="none" w:color="auto" w:sz="0" w:space="0"/>
          <w:shd w:val="clear" w:fill="FFFFFF"/>
        </w:rPr>
        <w:t>第六章 资产管理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第二十九条 资产是指行政单位依法直接支配的、能以货币计量的各类经济资源，包括流动资产、固定资产、在建工程、无形资产、公共基础设施、政府储备物资、文物文化资产、保障性住房等。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第三十条 流动资产是指预计在一年以内耗用或者可以变现的资产，包括货币资金、应收及预付款项、存货等。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前款所称存货是指行政单位在工作中为耗用而储存的资产，包括材料、产品、包装物和低值易耗品以及未达到固定资产标准的用具、装具、动植物等。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第三十一条 固定资产是指使用期限超过一年，单位价值在1000元以上，并且在使用过程中基本保持原有物质形态的资产。单位价值虽未达到规定标准，但是耐用时间在一年以上的大批同类物资，作为固定资产管理。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第三十二条 在建工程是指已经发生必要支出，但尚未达到交付使用状态的建设项目工程。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在建工程达到交付使用状态时，应当按照规定办理工程竣工财务决算和资产交付使用，期限最长不得超过1年。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第三十三条 无形资产是指不具有实物形态而能为使用者提供某种权利的资产，包括专利权、商标权、著作权、土地使用权、非专利技术等。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第三十四条 行政单位应当建立健全单位资产管理制度，明确资产使用人和管理人的岗位责任，按照国家规定设置国有资产台账，加强和规范资产配置、使用和处置管理，维护资产安全完整。涉及资产评估的，按照国家有关规定执行。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行政单位应当汇总编制本单位行政事业性国有资产管理情况报告。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第三十五条 行政单位应当根据依法履行职能和完成工作任务的需要，结合资产存量和价值、资产配置标准、绩效目标和财政承受能力，优先通过调剂方式配置资产。不能调剂的，可以采用购置、建设、租用等方式。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第三十六条 行政单位应当加强资产日常管理工作，做好资产建账、核算和登记工作，定期或者不定期进行清查盘点、对账，保证账账相符，账实相符。出现资产盘盈盘亏的，应当按照财务、会计和资产管理制度有关规定处理。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行政单位对需要办理权属登记的资产应当依法及时办理。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第三十七条 行政单位开设银行存款账户，应当报本级财政部门审批或者备案，并由财务部门统一管理。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第三十八条 行政单位应当加强应收及预付款项的管理，严格控制规模，并及时进行清理，不得长期挂账。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第三十九条 行政单位的资产增加时，应当及时登记入账；减少时，应当按照资产处置规定办理报批手续，进行账务处理。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行政单位货币性资产损失核销，按照本级财政部门预算及财务管理有关规定执行。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第四十条 除法律另有规定外，行政单位不得以任何形式用其依法直接支配的国有资产对外投资或者设立营利性组织。对于未与行政单位脱钩的营利性组织，行政单位应当按照有关规定进行监管。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除法律、行政法规另有规定外，行政单位不得以任何方式举借债务，不得以任何方式对外提供担保。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第四十一条 行政单位对外出租、出借国有资产，应当按照有关规定履行相关审批程序。未经批准，不得对外出租、出借。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第四十二条 行政单位应当在确保安全使用的前提下，推进本单位大型设备等国有资产共享共用工作，可以对提供方给予合理补偿。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第四十三条 行政单位资产处置应当遵循公开、公平、公正和竞争、择优的原则，依法进行资产评估，严格履行相关审批程序。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第四十四条 公共基础设施、政府储备物资、文物文化资产、保障性住房等国有资产管理的具体办法，由国务院财政部门会同有关部门制定。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center"/>
        <w:rPr>
          <w:rFonts w:hint="eastAsia" w:ascii="宋体" w:hAnsi="宋体" w:eastAsia="宋体" w:cs="宋体"/>
          <w:sz w:val="24"/>
          <w:szCs w:val="24"/>
        </w:rPr>
      </w:pPr>
      <w:r>
        <w:rPr>
          <w:rFonts w:hint="eastAsia" w:ascii="宋体" w:hAnsi="宋体" w:eastAsia="宋体" w:cs="宋体"/>
          <w:b/>
          <w:i w:val="0"/>
          <w:caps w:val="0"/>
          <w:color w:val="333333"/>
          <w:spacing w:val="0"/>
          <w:sz w:val="24"/>
          <w:szCs w:val="24"/>
          <w:bdr w:val="none" w:color="auto" w:sz="0" w:space="0"/>
          <w:shd w:val="clear" w:fill="FFFFFF"/>
        </w:rPr>
        <w:t>第七章 负债管理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第四十五条 负债是指行政单位过去的经济业务事项形成的、预期会导致经济资源流出的现时义务，包括应缴款项、暂存款项、应付款项等。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第四十六条 应缴款项是指行政单位依法取得的应当上缴财政的资金，包括罚没收入、行政事业性收费收入、政府性基金收入、国有资源（资产）有偿使用收入等。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第四十七条 行政单位取得罚没收入、行政事业性收费收入、政府性基金收入、国有资源（资产）有偿使用收入等，应当按照国库集中收缴的有关规定及时足额上缴，不得隐瞒、滞留、截留、占用、挪用、拖欠或者坐支。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第四十八条 暂存款项是行政单位在业务活动中与其他单位或者个人发生的预收、代管等待结算的款项。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第四十九条 行政单位应当加强对暂存款项的管理，不得将应当纳入单位收入管理的款项列入暂存款项；对各种暂存款项应当及时清理、结算，不得长期挂账。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center"/>
        <w:rPr>
          <w:rFonts w:hint="eastAsia" w:ascii="宋体" w:hAnsi="宋体" w:eastAsia="宋体" w:cs="宋体"/>
          <w:sz w:val="24"/>
          <w:szCs w:val="24"/>
        </w:rPr>
      </w:pPr>
      <w:r>
        <w:rPr>
          <w:rFonts w:hint="eastAsia" w:ascii="宋体" w:hAnsi="宋体" w:eastAsia="宋体" w:cs="宋体"/>
          <w:b/>
          <w:i w:val="0"/>
          <w:caps w:val="0"/>
          <w:color w:val="333333"/>
          <w:spacing w:val="0"/>
          <w:sz w:val="24"/>
          <w:szCs w:val="24"/>
          <w:bdr w:val="none" w:color="auto" w:sz="0" w:space="0"/>
          <w:shd w:val="clear" w:fill="FFFFFF"/>
        </w:rPr>
        <w:t>第八章 行政单位划转撤并的财务处理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第五十条 行政单位划转撤并的财务处理，应当在财政部门、主管预算单位等部门的监督指导下进行。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划转撤并的行政单位应当对单位的财产、债权、债务等进行全面清理，编制财产目录和债权、债务清单，提出财产作价依据和债权、债务处理办法，做好资产和负债的移交、接收、划转和管理工作，并妥善处理各项遗留问题。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第五十一条 划转撤并的行政单位的资产和负债经主管预算单位审核并上报财政部门和有关部门批准后，分别按照下列规定处理：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（一）转为事业单位和改变隶属关系的行政单位，其资产和负债无偿移交，并相应调整、划转经费指标。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（二）转为企业的行政单位，其资产按照有关规定进行评估作价并扣除负债后，转作企业的国有资本。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（三）撤销的行政单位，其全部资产和负债由财政部门或者财政部门授权的单位处理。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（四）合并的行政单位，其全部资产和负债移交接收单位或者新组建单位，并相应划转经费指标；合并后多余的资产，由财政部门或者财政部门授权的单位处理。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（五）分立的行政单位，其资产和负债按照有关规定移交分立后的行政单位，并相应划转经费指标。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center"/>
        <w:rPr>
          <w:rFonts w:hint="eastAsia" w:ascii="宋体" w:hAnsi="宋体" w:eastAsia="宋体" w:cs="宋体"/>
          <w:sz w:val="24"/>
          <w:szCs w:val="24"/>
        </w:rPr>
      </w:pPr>
      <w:r>
        <w:rPr>
          <w:rFonts w:hint="eastAsia" w:ascii="宋体" w:hAnsi="宋体" w:eastAsia="宋体" w:cs="宋体"/>
          <w:b/>
          <w:i w:val="0"/>
          <w:caps w:val="0"/>
          <w:color w:val="333333"/>
          <w:spacing w:val="0"/>
          <w:sz w:val="24"/>
          <w:szCs w:val="24"/>
          <w:bdr w:val="none" w:color="auto" w:sz="0" w:space="0"/>
          <w:shd w:val="clear" w:fill="FFFFFF"/>
        </w:rPr>
        <w:t>第九章 财务报告和决算报告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第五十二条 行政单位应当按照国家有关规定向主管预算单位和财政部门以及其他有关的报告使用者提供财务报告、决算报告。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行政单位财务会计和预算会计要素的确认、计量、记录、报告应当遵循政府会计准则制度的规定。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第五十三条 财务报告主要以权责发生制为基础编制，以财务会计核算生成的数据为准，综合反映行政单位特定日期财务状况和一定时期运行情况等信息。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第五十四条 财务报告由财务报表和财务分析两部分组成。财务报表主要包括资产负债表、收入费用表等会计报表和报表附注。财务分析的内容主要包括财务状况分析、运行情况分析和财务管理情况等。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第五十五条 决算报告主要以收付实现制为基础编制，以预算会计核算生成的数据为准，综合反映行政单位年度预算收支执行结果等信息。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第五十六条 决算报告由决算报表和决算分析两部分组成。决算报表主要包括收入支出表、财政拨款收入支出表等。决算分析的内容主要包括收支预算执行分析、资金使用效益分析和机构人员情况等。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center"/>
        <w:rPr>
          <w:rFonts w:hint="eastAsia" w:ascii="宋体" w:hAnsi="宋体" w:eastAsia="宋体" w:cs="宋体"/>
          <w:sz w:val="24"/>
          <w:szCs w:val="24"/>
        </w:rPr>
      </w:pPr>
      <w:r>
        <w:rPr>
          <w:rFonts w:hint="eastAsia" w:ascii="宋体" w:hAnsi="宋体" w:eastAsia="宋体" w:cs="宋体"/>
          <w:b/>
          <w:i w:val="0"/>
          <w:caps w:val="0"/>
          <w:color w:val="333333"/>
          <w:spacing w:val="0"/>
          <w:sz w:val="24"/>
          <w:szCs w:val="24"/>
          <w:bdr w:val="none" w:color="auto" w:sz="0" w:space="0"/>
          <w:shd w:val="clear" w:fill="FFFFFF"/>
        </w:rPr>
        <w:t>第十章 财务监督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第五十七条 行政单位财务监督主要包括对预算管理、收入管理、支出管理、结转和结余管理、资产管理、负债管理等的监督。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第五十八条 行政单位财务监督应当实行事前监督、事中监督、事后监督相结合，日常监督与专项监督相结合，并对违反财务规章制度的问题进行检查处理。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第五十九条 行政单位应当建立健全内部控制制度、经济责任制度、财务信息披露制度等监督制度，按照规定编制内部控制报告，依法依规公开财务信息，做好预决算公开工作。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第六十条 行政单位应当遵守财经纪律和财务制度，依法接受主管预算单位和财政、审计部门的监督。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第六十一条 财政部门、行政单位及其工作人员存在违反本规则规定的行为，以及其他滥用职权、玩忽职守、徇私舞弊等违法违规行为的，依法追究相应责任。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center"/>
        <w:rPr>
          <w:rFonts w:hint="eastAsia" w:ascii="宋体" w:hAnsi="宋体" w:eastAsia="宋体" w:cs="宋体"/>
          <w:sz w:val="24"/>
          <w:szCs w:val="24"/>
        </w:rPr>
      </w:pPr>
      <w:r>
        <w:rPr>
          <w:rFonts w:hint="eastAsia" w:ascii="宋体" w:hAnsi="宋体" w:eastAsia="宋体" w:cs="宋体"/>
          <w:b/>
          <w:i w:val="0"/>
          <w:caps w:val="0"/>
          <w:color w:val="333333"/>
          <w:spacing w:val="0"/>
          <w:sz w:val="24"/>
          <w:szCs w:val="24"/>
          <w:bdr w:val="none" w:color="auto" w:sz="0" w:space="0"/>
          <w:shd w:val="clear" w:fill="FFFFFF"/>
        </w:rPr>
        <w:t>第十一章 附则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第六十二条 行政单位基本建设投资的财务管理，应当执行本规则，但国家基本建设投资财务管理制度另有规定的，从其规定。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第六十三条 行政单位应当严格按照《中华人民共和国保守国家秘密法》等法律法规和有关规定，做好涉密事项的财务管理工作。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第六十四条 行政单位所属独立核算的企业、事业单位分别执行相应的财务制度，不执行本规则。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第六十五条 省、自治区、直辖市人民政府财政部门可以依据本规则结合本地区实际情况制定实施办法。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第六十六条 本规则自2023年3月1日起施行。《行政单位财务规则》（财政部令第71号）同时废止。 </w:t>
      </w:r>
    </w:p>
    <w:p>
      <w:pPr/>
      <w:bookmarkStart w:id="0" w:name="_GoBack"/>
      <w:bookmarkEnd w:id="0"/>
    </w:p>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roman"/>
    <w:pitch w:val="variable"/>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00"/>
    <w:family w:val="modern"/>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812A48"/>
    <w:rsid w:val="26812A48"/>
    <w:rsid w:val="31073DA4"/>
    <w:rsid w:val="5437564D"/>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4">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2025-08-29T03:24:00Z</dcterms:created>
  <dc:creator>Administrator</dc:creator>
  <cp:lastModifiedBy>Administrator</cp:lastModifiedBy>
  <dcterms:modified xsi:type="dcterms:W3CDTF">2025-08-29T03:25:22Z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ies>
</file>